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1142. “老字号新生，百年老店焕新”——老字号餐饮（焕新、年轻化）消费研究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研究对象：光顾老字号焕新门店（年轻化改造）的消费者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核心问题/变量：老字号焕新内容（产品/包装/门店）、怀旧与创新平衡、国潮包装消费、与新兴品牌竞争、年轻客群比例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H1：老字号焕新内容（产品/包装/门店）、怀旧与创新平衡显著影响年轻客群比例（待验证）；H2：不同人群（年龄/收入/城市等级）在上述关系中存在调节作用（待验证）。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🔶老字号创新与保护政策（商务部）；🔶老字号焕新案例数据（须下载核验）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老字号门店问卷+企业访谈；获奖黑名单核对：近三年无老字号焕新获奖题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🔶老字号创新与保护政策（商务部）；🔶老字号焕新案例数据（须下载核验）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