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1143. “轻食沙拉店，吃草的人多了”——轻食沙拉（门店、外卖）消费研究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研究对象：消费轻食沙拉（健康餐）的上班族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核心问题/变量：轻食消费动机（减脂/控糖）、沙拉店/外卖选择、价格带（30-50）、饱腹感与复购、轻食化趋势（中式轻食）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H1：轻食消费动机（减脂/控糖）、沙拉店/外卖选择显著影响轻食化趋势（中式轻食）（待验证）；H2：不同人群（年龄/收入/城市等级）在上述关系中存在调节作用（待验证）。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🔶健康餐饮与营养标签政策（卫健委）；🔶轻食市场数据（须下载核验）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轻食门店问卷+外卖平台数据；获奖黑名单核对：近三年无轻食沙拉获奖题（区别于628轻食外卖泛题，聚焦门店业态）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🔶健康餐饮与营养标签政策（卫健委）；🔶轻食市场数据（须下载核验）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