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1144. “茶咖融合，咖啡里有茶”——茶咖融合产品（茶+咖啡）消费研究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研究对象：消费茶咖融合饮品（茶咖/陈皮咖啡等）的消费者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核心问题/变量：茶咖新品尝鲜（猎奇）、口味接受（茶香+咖啡）、价格定位、差异化（vs纯咖啡/纯茶）、复购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H1：茶咖新品尝鲜（猎奇）、口味接受（茶香+咖啡）显著影响复购（待验证）；H2：不同人群（年龄/收入/城市等级）在上述关系中存在调节作用（待验证）。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🔶现制饮品食品安全规范（市场监管总局）；🔶茶咖融合趋势报道（须下载核验）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茶咖门店问卷+研发访谈；获奖黑名单核对：近三年无茶咖融合获奖题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🔶现制饮品食品安全规范（市场监管总局）；🔶茶咖融合趋势报道（须下载核验）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