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1145. “地方菜进城，地道风味馆”——地方菜馆进城（异地开店）消费研究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研究对象：光顾异地开店的家乡菜/地方菜馆的食客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核心问题/变量：地方菜进城（川湘/粤/东北菜）、家乡味道认同（老乡客流）、本地化改良、供应链（食材空运）、品牌连锁化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H1：地方菜进城（川湘/粤/东北菜）、家乡味道认同（老乡客流）显著影响品牌连锁化（待验证）；H2：不同人群（年龄/收入/城市等级）在上述关系中存在调节作用（待验证）。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🔶餐饮品牌连锁政策（商务部）；🔶地方菜进城数据（行业报告须下载核验）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地方菜馆问卷+餐企访谈；获奖黑名单核对：近三年无地方菜进城获奖题（区别于703地方菜泛题，聚焦异地扩张）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🔶餐饮品牌连锁政策（商务部）；🔶地方菜进城数据（行业报告须下载核验）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