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1198. “社区烘焙工坊，现烤现卖香”——社区烘焙店（现烤、面包工坊）消费研究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研究对象：光顾社区烘焙工坊（现烤现卖）的居民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核心问题/变量：社区烘焙选择（现烤vs预包装）、面包新鲜度感知、价格带与复购、社区选址（出家门即达）、新品（低糖/全麦）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H1：社区烘焙选择（现烤vs预包装）、面包新鲜度感知显著影响新品（低糖/全麦）（待验证）；H2：不同人群（年龄/收入/城市等级）在上述关系中存在调节作用（待验证）。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🔶烘焙食品生产规范（市场监管总局）；🔶社区烘焙市场数据（须下载核验）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烘焙门店实地问卷+店主访谈；获奖黑名单核对：近三年无社区烘焙获奖题（区别于839现烤面包泛题，聚焦社区业态）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🔶烘焙食品生产规范（市场监管总局）；🔶社区烘焙市场数据（须下载核验）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