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1200. “儿童餐市场，娃的口味生意”——儿童餐（餐厅儿童菜单、亲子餐厅）消费研究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研究对象：带孩子下馆子会点儿童餐/去亲子餐厅的家庭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核心问题/变量：儿童餐需求（少盐少辣/份量）、餐厅儿童菜单普及度、儿童餐定价（高于成本）、亲子餐厅体验、营养搭配、复购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H1：儿童餐需求（少盐少辣/份量）、餐厅儿童菜单普及度显著影响复购（待验证）；H2：不同人群（年龄/收入/城市等级）在上述关系中存在调节作用（待验证）。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🔶儿童餐营养与食品安全规范（卫健委、市场监管总局）；🔶儿童餐市场数据（餐饮报告须下载核验）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亲子家庭问卷+餐饮品牌访谈；获奖黑名单核对：近三年无儿童餐获奖题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🔶儿童餐营养与食品安全规范（卫健委、市场监管总局）；🔶儿童餐市场数据（餐饮报告须下载核验）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