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1245. “植物基2.0，燕麦奶花生奶”——植物基饮品（燕麦奶、豆饮）消费研究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确定行业：06_餐饮食品（选择理由：贴合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研究对象：消费植物基饮品（燕麦奶/花生奶/椰奶）的消费者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核心问题/变量：植物基饮品选择（乳糖不耐/健康）、品类扩张（花生奶/椰乳茶饮）、价格与复购、与牛奶替代、燕麦奶咖啡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H1：植物基饮品选择（乳糖不耐/健康）、品类扩张（花生奶/椰乳茶饮）显著影响燕麦奶咖啡（待验证）；H2：不同人群（年龄/收入/城市等级）在上述关系中存在调节作用（待验证）。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🔶植物基产品标签与营养规范（市场监管总局）；🔶植物基饮品市场数据（须下载核验）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饮品门店/商超问卷+品牌访谈；获奖黑名单核对：近三年无植物基饮品获奖题（区别于581植物奶泛题，聚焦新品类与新茶饮应用）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🔶植物基产品标签与营养规范（市场监管总局）；🔶植物基饮品市场数据（须下载核验）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