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1246. “以形补形热，养生人设餐饮”——药食同源养生火锅（汤锅）消费研究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研究对象：消费养生火锅/汤锅（药膳汤底）的食客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核心问题/变量：养生火锅选择（菌汤/药膳锅底）、健康人设消费、价格带、真实功效期待（vs营销）、复购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H1：养生火锅选择（菌汤/药膳锅底）、健康人设消费显著影响复购（待验证）；H2：不同人群（年龄/收入/城市等级）在上述关系中存在调节作用（待验证）。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🔶火锅行业与食品安全规范（市场监管总局）；🔶养生火锅市场数据（须下载核验）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火锅门店问卷+品牌访谈；获奖黑名单核对：近三年无养生火锅获奖题（区别于887/1200药膳，聚焦火锅业态）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🔶火锅行业与食品安全规范（市场监管总局）；🔶养生火锅市场数据（须下载核验）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