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1248. “现制咖啡下沉，县城9.9咖啡战”——县城咖啡价格战（9.9元）消费研究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研究对象：消费9.9元咖啡（价格战）的县城与下沉市场用户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核心问题/变量：咖啡价格战（9.9无限续）、县城咖啡习惯养成、低价对精品店挤压、咖啡饮用频次提升、复购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H1：咖啡价格战（9.9无限续）、县城咖啡习惯养成显著影响复购（待验证）；H2：不同人群（年龄/收入/城市等级）在上述关系中存在调节作用（待验证）。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🔶咖啡市场与现制饮品规范（市场监管总局）；🔶下沉咖啡数据（须下载核验）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县域咖啡门店问卷+品牌访谈；获奖黑名单核对：近三年无9.9咖啡获奖题（区别于844县城咖啡、204咖啡价格战泛题，聚焦下沉价格战）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🔶咖啡市场与现制饮品规范（市场监管总局）；🔶下沉咖啡数据（须下载核验）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