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1398. “中餐出海3.0，新茶饮出海潮”——新茶饮出海（海外开店）消费研究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研究对象：消费出海新茶饮（蜜雪冰城/霸王茶姬海外店）的海外顾客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核心问题/变量：新茶饮出海（东南亚/欧美）、海外定价策略（溢价）、本地人接受度（与本地奶茶竞争）、华人顾客、品牌全球化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H1：新茶饮出海（东南亚/欧美）、海外定价策略（溢价）显著影响品牌全球化（待验证）；H2：不同人群（年龄/收入/城市等级）在上述关系中存在调节作用（待验证）。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🔶餐饮企业出海支持政策（商务部）；🔶新茶饮海外数据（须下载核验）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海外门店问卷+出海茶饮企业访谈；获奖黑名单核对：近三年无新茶饮出海获奖题（区别于184短剧出海，聚焦茶饮连锁出海）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🔶餐饮企业出海支持政策（商务部）；🔶新茶饮海外数据（须下载核验）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