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1400. “深夜食堂2.0，Uber式深夜餐厅”——宵夜外卖（深夜档）消费研究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研究对象：深夜点外卖（宵夜）的城市消费者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核心问题/变量：深夜外卖场景（加班/追剧/夜宵）、品类（烧烤/炸鸡/甜品）、配送费与时段、商家夜间营业率、食品安全（夜间）、复购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H1：深夜外卖场景（加班/追剧/夜宵）、品类（烧烤/炸鸡/甜品）显著影响复购（待验证）；H2：不同人群（年龄/收入/城市等级）在上述关系中存在调节作用（待验证）。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🔶网络餐饮与夜间经济发展政策（市场监管总局、商务部）；🔶深夜外卖数据（平台报告须下载核验）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外卖用户问卷+平台数据；获奖黑名单核对：近三年无深夜外卖获奖题（区别于1244深夜食堂堂食，聚焦外卖形态）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🔶网络餐饮与夜间经济发展政策（市场监管总局、商务部）；🔶深夜外卖数据（平台报告须下载核验）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