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142. “抄经冥想，心静一刻”——寺庙禅修、抄经、冥想体验消费研究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研究对象：体验过寺庙禅修营/抄经/打坐的消费者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核心问题/变量：参与动机（减压/疗愈）、课程价格、心理收益、满意度、复购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H1：参与动机（减压/疗愈）、课程价格显著影响复购（待验证）；H2：不同人群（年龄/收入/城市等级）在上述关系中存在调节作用（待验证）。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🔶抄经禅修在青年中兴起（媒体报道：付费抄经书）；✅颂钵/冥想疗愈内容帖量+124%（小红书，第三批证据复用）；✅情绪疗愈经济近4万亿元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禅修营/寺庙短期课程渠道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🔶抄经禅修在青年中兴起（媒体报道：付费抄经书）；✅颂钵/冥想疗愈内容帖量+124%（小红书，第三批证据复用）；✅情绪疗愈经济近4万亿元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