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167. “共享厨房，烟火共享”——社区共享厨房、美食工坊使用意愿研究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研究对象：对共享厨房（烘焙共享/社区烹饪）感兴趣的社区家庭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核心问题/变量：使用场景（烘焙/亲子/社群）、费用接受、卫生信任、社交功能、参与意愿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烘焙/亲子/社群）、费用接受（参与意愿）之间存在可检验的关系，且受群体差异（年龄/收入/地区/身份）调节（待验证）；H2：使用场景（烘焙/亲子/社群）、费用接受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🔶共享厨房为社区商业新模式（一线城市案例媒体）；✅社区餐饮1.2万亿元大盘背景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社区活动中心/亲子社群渠道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🔶共享厨房为社区商业新模式（一线城市案例媒体）；✅社区餐饮1.2万亿元大盘背景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