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168. “深夜食堂，城市温度”——夜间餐饮、深夜食堂消费行为研究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研究对象：有夜间外出就餐/夜宵习惯的城市居民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核心问题/变量：消费时段、品类偏好、人均支出、卫生安全顾虑、满意度、夜间经济带动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H1：消费时段、品类偏好显著影响夜间经济带动（待验证）；H2：不同人群（年龄/收入/城市等级）在上述关系中存在调节作用（待验证）。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✅商务部培育夜间消费集聚区（政策背景）；🔶"深夜食堂"餐饮业态报道（媒体）；✅2026上半年餐饮消费数据（🔶最新口径待核）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夜市/宵夜街区现场调研；与第三批88题（县域夜经济）区分：聚焦都市深夜食堂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✅商务部培育夜间消费集聚区（政策背景）；🔶"深夜食堂"餐饮业态报道（媒体）；✅2026上半年餐饮消费数据（🔶最新口径待核）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