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175. “情绪茶饮，一杯解压”——情绪价值驱动的新茶饮消费行为研究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研究对象：为新茶饮"情绪联名/治愈系包装"买过单的 18—30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核心问题/变量：消费动机（解压/场景/IP）、月均杯数支出、情绪价值vs口味比重、复购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H1：消费动机（解压/场景/IP）、月均杯数支出显著影响复购（待验证）；H2：不同人群（年龄/收入/城市等级）在上述关系中存在调节作用（待验证）。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✅新茶饮2026年预计突破3700亿元；✅22—30岁消费者占70%、72.1%每周买3次以上（艾媒）；✅"情绪疗愈"类茶饮搜索量+40%（小红书2025双十一）；✅爷爷不泡茶"情绪研发"、卡皮巴拉IP案例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茶饮门店/社交平台用户渠道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✅新茶饮2026年预计突破3700亿元；✅22—30岁消费者占70%、72.1%每周买3次以上（艾媒）；✅"情绪疗愈"类茶饮搜索量+40%（小红书2025双十一）；✅爷爷不泡茶"情绪研发"、卡皮巴拉IP案例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