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206. “社区精酿，微醺社交”——精酿啤酒、社区小酒馆消费行为研究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研究对象：去过精酿酒吧/社区小酒馆的 20—40 岁消费者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核心问题/变量：消费频次、客单价、微醺社交动机、品类偏好（精酿/低度酒）、性价比感知、复购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H1：消费频次、客单价显著影响复购（待验证）；H2：不同人群（年龄/收入/城市等级）在上述关系中存在调节作用（待验证）。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🔶精酿啤酒市场增速（中国酒业协会数据需核验）；✅低度酒/微醺经济媒体讨论（需引原文）；✅情绪社交消费背景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精酿门店/酒馆社群渠道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🔶精酿啤酒市场增速（中国酒业协会数据需核验）；✅低度酒/微醺经济媒体讨论（需引原文）；✅情绪社交消费背景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