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239. “早餐工程，烟火民生”——城市早餐供给与早餐消费行为研究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确定行业：06_餐饮食品（选择理由：贴合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研究对象：城市上班族/学生（有早餐消费习惯）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核心问题/变量：早餐方式（在家/路边/便利店/预制）、消费金额、时间成本、卫生与营养关注、外卖早餐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H1：早餐方式（在家/路边/便利店/预制）、消费金额显著影响外卖早餐（待验证）；H2：不同人群（年龄/收入/城市等级）在上述关系中存在调节作用（待验证）。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🔶早餐市场规模（行业报告需核验）；✅商务部"早餐工程"政策（便民早餐网点建设背景）；✅预制早餐兴起（媒体🔶）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早餐摊/便利店现场+线上问卷；民生切口、贴近生活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🔶早餐市场规模（行业报告需核验）；✅商务部"早餐工程"政策（便民早餐网点建设背景）；✅预制早餐兴起（媒体🔶）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