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279. “礼盒经济，一盒情意”——节日礼盒（月饼、年货、粽子）消费行为研究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研究对象：购买过节日礼盒的 18—55 岁消费者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核心问题/变量：购买场景（送礼/自用）、价格带、包装与口味偏好、过度包装感知、健康取向（低糖）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H1：购买场景（送礼/自用）、价格带显著影响健康取向（低糖）（待验证）；H2：不同人群（年龄/收入/城市等级）在上述关系中存在调节作用（待验证）。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🔶礼盒市场（食品行业报告需核验）；✅月饼/年货市场规模（行业媒体数据🔶）；✅《限制商品过度包装要求》新国标（市场监管总局政策）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商超/电商渠道；主题贴近民生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🔶礼盒市场（食品行业报告需核验）；✅月饼/年货市场规模（行业媒体数据🔶）；✅《限制商品过度包装要求》新国标（市场监管总局政策）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