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296. “市井美食，小吃出圈”——地方小吃品牌化、市井美食消费行为研究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建议地区：长沙（可按省/市细化抽样框）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研究对象：为地方小吃（长沙臭豆腐/柳州螺蛳粉/潼关肉夹馍）消费过的食客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核心问题/变量：打卡动机、品牌化vs路边摊偏好、价格接受、卫生信任、预制与现制、传播分享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H1：打卡动机、品牌化vs路边摊偏好显著影响传播分享（待验证）；H2：不同人群（年龄/收入/城市等级）在上述关系中存在调节作用（待验证）。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🔶地方小吃产业化（螺蛳粉百亿产业媒体数据🔶需核验）；✅旅游餐饮消费反弹（文旅部数据🔶）；✅预制菜国标（第二批21题衔接）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小吃街/美食市集现场调研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🔶地方小吃产业化（螺蛳粉百亿产业媒体数据🔶需核验）；✅旅游餐饮消费反弹（文旅部数据🔶）；✅预制菜国标（第二批21题衔接）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