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298. “机器人上菜，智能餐饮”——智能餐饮（送餐机器人、无人餐厅）消费体验研究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研究对象：去过有送餐机器人/智能点餐的餐厅的消费者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核心问题/变量：体验动机（新鲜/效率）、服务满意度、人机交互舒适度、价格感知、复购意愿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H1：体验动机（新鲜/效率）、服务满意度显著影响复购意愿（待验证）；H2：不同人群（年龄/收入/城市等级）在上述关系中存在调节作用（待验证）。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🔶餐饮机器人市场（行业报告需核验）；✅服务机器人产业政策（工信部背景）；✅AI终端消费扩容（新华网）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智能餐饮门店现场调研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🔶餐饮机器人市场（行业报告需核验）；✅服务机器人产业政策（工信部背景）；✅AI终端消费扩容（新华网）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