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359. “校园外卖，最后一公里的学生经济”——大学生外卖、校园生活服务消费研究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研究对象：在校大学生（有外卖/快递/打印等消费）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核心问题/变量：外卖频次与花费、取餐方式（外卖柜/校门口）、快递服务、校园商业需求、满意度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H1：外卖频次与花费、取餐方式（外卖柜/校门口）显著影响满意度（待验证）；H2：不同人群（年龄/收入/城市等级）在上述关系中存在调节作用（待验证）。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🔶校园外卖渗透（团餐/外卖平台数据需核验）；✅大学生群体消费（艾媒报告🔶）；✅即时零售1万亿背景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高校渠道（直接对接学生）；评委熟悉校园场景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🔶校园外卖渗透（团餐/外卖平台数据需核验）；✅大学生群体消费（艾媒报告🔶）；✅即时零售1万亿背景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