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035. “一人食光，孤独有市”——独居青年“一人食、一人居”消费场景与满足感研究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研究对象：独居/异地求学就业的青年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核心问题/变量：孤独感、一人消费意愿、场景类型、体验满意度、情感补偿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H1：孤独感、一人消费意愿显著影响情感补偿（待验证）；H2：不同人群（年龄/收入/城市等级）在上述关系中存在调节作用（待验证）。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