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387. “日咖夜酒，混合业态”——“日咖夜酒”复合门店消费行为研究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研究对象：去过日咖夜酒/早C晚A门店（咖啡+酒馆）的 20—35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核心问题/变量：到店时段分布（白天咖啡/晚上酒）、消费场景（办公/社交）、人均花费、空间体验、复购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H1：到店时段分布（白天咖啡/晚上酒）、消费场景（办公/社交）显著影响复购（待验证）；H2：不同人群（年龄/收入/城市等级）在上述关系中存在调节作用（待验证）。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🔶"日咖夜酒"业态兴起（行业媒体需核验）；✅咖啡市场3549亿（第三批已核验）；✅"小酒馆+咖啡"连锁案例（海伦司/Seesaw等）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复合门店现场+大众点评用户渠道；与140题（咖啡）区分：聚焦复合业态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🔶"日咖夜酒"业态兴起（行业媒体需核验）；✅咖啡市场3549亿（第三批已核验）；✅"小酒馆+咖啡"连锁案例（海伦司/Seesaw等）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