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443. “药膳茶饮，吃出养生”——药膳、食养餐饮消费行为研究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确定行业：06_餐饮食品（选择理由：贴合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研究对象：消费过药膳餐厅/养生茶饮/炖品店的顾客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核心问题/变量：消费动机（养生/尝鲜/送礼）、品类（汤羹/茶饮/糕点）、价格接受、功效信任、复购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H1：消费动机（养生/尝鲜/送礼）、品类（汤羹/茶饮/糕点）显著影响复购（待验证）；H2：不同人群（年龄/收入/城市等级）在上述关系中存在调节作用（待验证）。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🔶药膳市场规模（行业报告需核验）；✅"药食同源"目录扩增（卫健委，第十三批证据）；✅新中式养生消费（媒体）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药膳餐厅/养生茶饮店现场问卷；与295题（功能性零食）区分：聚焦餐饮场景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🔶药膳市场规模（行业报告需核验）；✅"药食同源"目录扩增（卫健委，第十三批证据）；✅新中式养生消费（媒体）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