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558. “手冲咖啡，慢煮时光”——咖啡豆烘焙、手冲精品咖啡消费研究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研究对象：在家手冲/玩咖啡豆烘焙的精品咖啡爱好者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核心问题/变量：精品咖啡入门路径、豆子/器具（磨豆机/手冲壶）消费、烘焙DIY参与、线上课程与杯测活动、与连锁咖啡对比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精品咖啡入门路径、豆子/器具（磨豆机/手冲壶）消费（与连锁咖啡对比）之间存在可检验的关系，且受群体差异（年龄/收入/地区/身份）调节（待验证）；H2：精品咖啡入门路径、豆子/器具（磨豆机/手冲壶）消费是影响与连锁咖啡对比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🔶精品咖啡器具市场数据（行业报告须下载核验）；✅咖啡产业政策（农业农村部）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咖啡社群问卷+烘焙商访谈；区别于488（社区咖啡角）聚焦器具与DIY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🔶精品咖啡器具市场数据（行业报告须下载核验）；✅咖啡产业政策（农业农村部）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