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560. “小吃街数字化，扫码尝遍”——文旅小吃街、美食集市数字化消费研究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研究对象：在文旅小吃街/美食集市消费的游客与市民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核心问题/变量：小吃街选择动机、扫码点单/支付体验、网红摊位打卡消费、食品安全感知、智慧街区（导览/排队）评价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H1：小吃街选择动机、扫码点单/支付体验显著影响智慧街区（导览/排队）评价（待验证）；H2：不同人群（年龄/收入/城市等级）在上述关系中存在调节作用（待验证）。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🔶智慧美食街区案例报道（媒体须下载核验）；✅餐饮业数字化政策（商务部）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小吃街实地问卷+商户访谈；区别于296（地方小吃品牌）聚焦街区数字化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🔶智慧美食街区案例报道（媒体须下载核验）；✅餐饮业数字化政策（商务部）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