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645. “社区食堂，年轻人也来了”——社区食堂吸引全龄段顾客研究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研究对象：在社区食堂就餐的年轻人、上班族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核心问题/变量：年轻人进社区食堂动机（便宜/健康/便捷）、菜品与时段偏好、与外卖对比、银发优先与混龄共餐、满意度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轻人进社区食堂动机（便宜/健康/便捷）、菜品与时段偏好（满意度）之间存在可检验的关系，且受群体差异（年龄/收入/地区/身份）调节（待验证）；H2：年轻人进社区食堂动机（便宜/健康/便捷）、菜品与时段偏好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✅社区食堂惠民政策（商务部、民政部）；🔶社区食堂发展报道（央媒须下载核验）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社区食堂实地问卷；获奖黑名单核对：近三年无社区食堂全龄获奖题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✅社区食堂惠民政策（商务部、民政部）；🔶社区食堂发展报道（央媒须下载核验）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