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703. “地方菜馆进城，家乡味出圈”——地方菜（湘菜、川菜、东北菜）连锁扩张研究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研究对象：在异乡选择地方菜馆（家乡味）的消费者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核心问题/变量：异乡家乡菜消费动机（思乡/口味）、地方菜馆出圈路径（网红菜/连锁）、口味正宗性感知、性价比、复购忠诚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H1：异乡家乡菜消费动机（思乡/口味）、地方菜馆出圈路径（网红菜/连锁）显著影响复购忠诚（待验证）；H2：不同人群（年龄/收入/城市等级）在上述关系中存在调节作用（待验证）。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🔶地方菜扩张报道（餐饮媒体须下载核验）；✅餐饮业促消费政策（商务部）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地方菜馆实地问卷+品牌方访谈；获奖黑名单核对：近三年无地方菜进城获奖题（区别于667小吃品牌化）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🔶地方菜扩张报道（餐饮媒体须下载核验）；✅餐饮业促消费政策（商务部）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