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744. “精酿啤酒节，微醺社交场”——精酿啤酒节、精酿吧消费研究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研究对象：参加精酿啤酒节/泡精酿吧的年轻消费者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核心问题/变量：精酿消费动机（风味/社交/打卡）、单杯价格接受、国产精酿品牌认知、配餐饮食联动、参与频次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H1：精酿消费动机（风味/社交/打卡）、单杯价格接受显著影响参与频次（待验证）；H2：不同人群（年龄/收入/城市等级）在上述关系中存在调节作用（待验证）。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🔶精酿啤酒市场数据（行业报告须下载核验）；✅酒类消费规范（市场监管总局）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啤酒节现场问卷+精酿从业者访谈；获奖黑名单核对：近三年无精酿啤酒节获奖题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🔶精酿啤酒市场数据（行业报告须下载核验）；✅酒类消费规范（市场监管总局）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