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779. “社区咖啡馆，第三空间下沉”——社区咖啡馆（邻里店）消费研究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研究对象：常去社区咖啡馆（非连锁/社区店）的消费者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核心问题/变量：社区咖选择动机（近/安静/人情味）、主理人社交连接、复购频次、与连锁/瑞幸对比、社区活动参与、价格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H1：社区咖选择动机（近/安静/人情味）、主理人社交连接显著影响价格（待验证）；H2：不同人群（年龄/收入/城市等级）在上述关系中存在调节作用（待验证）。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🔶社区咖啡馆业态报道（媒体须下载核验）；✅咖啡产业与社区商业政策（商务部）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社区咖实地问卷+主理人访谈；获奖黑名单核对：近三年无社区咖啡馆获奖题（区别于488咖啡角/599村咖）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🔶社区咖啡馆业态报道（媒体须下载核验）；✅咖啡产业与社区商业政策（商务部）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