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803. “深夜食堂，都市夜归人”——夜间餐饮（深夜食堂、宵夜外卖）消费研究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研究对象：深夜（21点后）就餐/点宵夜的都市年轻人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核心问题/变量：夜间餐饮场景（加班/聚会/刷剧）、品类偏好（烧烤/粥粉面）、外卖vs堂食、夜间配送费、健康顾虑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H1：夜间餐饮场景（加班/聚会/刷剧）、品类偏好（烧烤/粥粉面）显著影响健康顾虑（待验证）；H2：不同人群（年龄/收入/城市等级）在上述关系中存在调节作用（待验证）。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🔶夜间经济促进政策（商务部）；🔶夜间餐饮消费数据（平台报告须下载核验）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夜间商圈问卷+外卖平台数据；获奖黑名单核对：近三年无深夜食堂获奖题（区别于88县域夜经济）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🔶夜间经济促进政策（商务部）；🔶夜间餐饮消费数据（平台报告须下载核验）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