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824. “米其林、黑珍珠餐厅，摘星打卡”——高端餐饮（米其林、黑珍珠）打卡消费研究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研究对象：去米其林/黑珍珠等高端餐厅消费的食客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核心问题/变量：高端餐厅打卡动机（纪念日/社交/炫耀）、人均消费（500+）、订位难度、体验（服务/菜品/环境）与价格匹配、复访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H1：高端餐厅打卡动机（纪念日/社交/炫耀）、人均消费（500+）显著影响复访（待验证）；H2：不同人群（年龄/收入/城市等级）在上述关系中存在调节作用（待验证）。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🔶米其林/黑珍珠指南榜单评选报道（须下载核验）；✅餐饮业高质量发展政策（商务部）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高端餐厅渠道+食客问卷；获奖黑名单核对：近三年无米其林打卡获奖题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🔶米其林/黑珍珠指南榜单评选报道（须下载核验）；✅餐饮业高质量发展政策（商务部）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