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856. “咖啡渣循环，变废为宝”——咖啡渣回收利用（杯垫、肥料、油脂）消费与环保研究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研究对象：咖啡馆经营者、咖啡消费者、咖啡渣再生制品买家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核心问题/变量：咖啡渣回收认知、咖啡馆送渣/回收参与、再生制品（杯垫/环保袋）购买、循环经济参与意愿、成本与渠道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咖啡渣回收认知、咖啡馆送渣/回收参与（成本与渠道）之间存在可检验的关系，且受群体差异（年龄/收入/地区/身份）调节（待验证）；H2：咖啡渣回收认知、咖啡馆送渣/回收参与是影响成本与渠道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🔶咖啡渣再利用案例报道（环保媒体须下载核验）；✅无废城市与循环经济政策（生态环境部）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咖啡店渠道问卷+再生企业访谈；获奖黑名单核对：近三年无咖啡渣循环获奖题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🔶咖啡渣再利用案例报道（环保媒体须下载核验）；✅无废城市与循环经济政策（生态环境部）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