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887. “药食同源菜单，养生餐厅”——药膳、药食同源餐饮（养生餐）消费研究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研究对象：消费药膳/养生餐（药食同源食材）的食客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核心问题/变量：养生餐消费动机（调理/尝鲜）、药食同源认知（名单食材）、价格接受、功效预期与夸大宣传、复购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H1：养生餐消费动机（调理/尝鲜）、药食同源认知（名单食材）显著影响复购（待验证）；H2：不同人群（年龄/收入/城市等级）在上述关系中存在调节作用（待验证）。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🔶药食同源目录扩充（卫健委、市场监管总局）；🔶药膳餐厅报道（须下载核验）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养生餐馆渠道+食客问卷；获奖黑名单核对：近三年无药膳餐饮获奖题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🔶药食同源目录扩充（卫健委、市场监管总局）；🔶药膳餐厅报道（须下载核验）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