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921. “包子铺早餐革命，中式快餐升级”——包子、早餐连锁（中式快餐化）消费研究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确定行业：06_餐饮食品（选择理由：贴合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研究对象：常吃包子/早餐连锁（巴比/三津类）的上班族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核心问题/变量：早餐消费频次与均价、包子连锁vs摊点选择（卫生/速度）、数字化点单（小程序）、新品（包子+咖啡）、复购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H1：早餐消费频次与均价、包子连锁vs摊点选择（卫生/速度）显著影响复购（待验证）；H2：不同人群（年龄/收入/城市等级）在上述关系中存在调节作用（待验证）。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🔶早餐工程与餐饮连锁政策（商务部）；🔶早餐市场数据（行业报告须下载核验）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门店实地问卷+品牌方访谈；获奖黑名单核对：近三年无早餐连锁获奖题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🔶早餐工程与餐饮连锁政策（商务部）；🔶早餐市场数据（行业报告须下载核验）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