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949. “生腌、日料刺身，生食安全”——生食料理（生腌、刺身、醉虾）消费与安全研究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研究对象：消费生腌/刺身等生食料理的年轻人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核心问题/变量：生食料理消费动机（风味/新鲜）、食品安全担忧（寄生虫/致病菌）、商家资质信任、食用后不适经历、监管期待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H1：生食料理消费动机（风味/新鲜）、食品安全担忧（寄生虫/致病菌）显著影响监管期待（待验证）；H2：不同人群（年龄/收入/城市等级）在上述关系中存在调节作用（待验证）。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🔶生食水产品经营规范（市场监管总局、卫健委）；🔶生腌流行报道（须下载核验）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餐饮渠道问卷+市场监管访谈；获奖黑名单核对：近三年无生腌生食获奖题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🔶生食水产品经营规范（市场监管总局、卫健委）；🔶生腌流行报道（须下载核验）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