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978. “湘菜馆出海，辣味全球化”——湘菜、川菜馆出海（海外中餐升级）研究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研究对象：海外中餐（湘菜/川菜）馆顾客、出海餐饮品牌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核心问题/变量：海外中餐接受度（辣度适配）、本地化改良（麻辣程度）、华人vs外籍客群、供应链（豆瓣酱/香料）、中餐品牌出海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H1：海外中餐接受度（辣度适配）、本地化改良（麻辣程度）显著影响中餐品牌出海（待验证）；H2：不同人群（年龄/收入/城市等级）在上述关系中存在调节作用（待验证）。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🔶中餐出海与中华美食文化传播政策（商务部）；🔶海外中餐数据（须下载核验）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海外门店渠道问卷+品牌访谈；获奖黑名单核对：近三年无湘菜出海获奖题（区别于679茶饮出海/703地方菜进城）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🔶中餐出海与中华美食文化传播政策（商务部）；🔶海外中餐数据（须下载核验）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