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宋体" w:hAnsi="宋体" w:eastAsia="宋体"/>
          <w:b/>
          <w:color w:val="6663B2"/>
          <w:sz w:val="30"/>
        </w:rPr>
        <w:t>1140. “县区米其林，本地人爱吃”——县域特色餐饮（本地化爆店）消费研究（千题扩容·2026最新批次）</w:t>
      </w:r>
    </w:p>
    <w:p>
      <w:pPr>
        <w:spacing w:after="240"/>
        <w:jc w:val="center"/>
      </w:pPr>
      <w:r>
        <w:rPr>
          <w:rFonts w:ascii="宋体" w:hAnsi="宋体" w:eastAsia="宋体"/>
          <w:b w:val="0"/>
          <w:color w:val="837292"/>
          <w:sz w:val="20"/>
        </w:rPr>
        <w:t>正大杯选题档案 · 2026-10 千题扩容批次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一、选题基本信息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研究对象：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核心变量/研究问题：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研究阶段：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所属选题库：正大杯千题 · 按行业分类-06_餐饮食品（编号 1140）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二、可行性说明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三、参考来源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✅=官方政策/权威媒体可直接引用；🔶=行业报告/媒体线索，参赛前须下载原文核对。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