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1023. “老年防走失，定位守护”——老年人防走失设备家庭需求与佩戴接受度调查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研究对象：为认知障碍/高龄老人配置防走失设备的家庭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核心问题/变量：走失风险与经历、定位设备（手环/挂牌/鞋垫）购买与费用、老人佩戴接受度、慈善发放（防走失黄手环）参与、效果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走失风险与经历、定位设备（手环/挂牌/鞋垫）购买与费用（效果）之间存在可检验的关系，且受群体差异（年龄/收入/地区/身份）调节（待验证）；H2：走失风险与经历、定位设备（手环/挂牌/鞋垫）购买与费用是影响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🔶老年人关爱与认知症友好政策（民政部、卫健委）；🔶防走失定位产品报道（须下载核验）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社区/养老院问卷+设备厂商访谈；获奖黑名单核对：近三年无防走失定位获奖题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🔶老年人关爱与认知症友好政策（民政部、卫健委）；🔶防走失定位产品报道（须下载核验）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