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1036. “银发电竞，老将出山”——老年人电子竞技参与需求与脑力锻炼感知调查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研究对象：参加老年电竞比赛/日常玩电子游戏的老年人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核心问题/变量：银发电竞参与（棋牌手游/竞技比赛）、电竞社交圈、脑力锻炼感知、沉迷与健康平衡、赛事组织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电竞参与（棋牌手游/竞技比赛）、电竞社交圈（赛事组织）之间存在可检验的关系，且受群体差异（年龄/收入/地区/身份）调节（待验证）；H2：银发电竞参与（棋牌手游/竞技比赛）、电竞社交圈是影响赛事组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🔶老年电竞赛事报道（央媒须下载核验）；✅老年人文化体育服务政策（体育总局、老龄办）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老年电竞社群问卷+赛事方访谈；获奖黑名单核对：近三年无银发电竞获奖题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🔶老年电竞赛事报道（央媒须下载核验）；✅老年人文化体育服务政策（体育总局、老龄办）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