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1051. “记忆咖啡馆，认知症员工”——记忆咖啡馆顾客接纳度与家属支持意愿调查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研究对象：记忆咖啡馆（认知症老人做咖啡师）的员工、家属与顾客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核心问题/变量：记忆咖啡馆模式（认知症友好就业）、老人工作价值感、家属支持与社会参与、顾客接纳（服务慢）、运营可持续性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记忆咖啡馆模式（认知症友好就业）、老人工作价值感（运营可持续性）之间存在可检验的关系，且受群体差异（年龄/收入/地区/身份）调节（待验证）；H2：记忆咖啡馆模式（认知症友好就业）、老人工作价值感是影响运营可持续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🔶认知症友好与银发就业政策（卫健委、民政部）；🔶记忆咖啡馆案例报道（央媒须下载核验）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记忆咖啡馆问卷+公益机构访谈；获奖黑名单核对：近三年无记忆咖啡馆获奖题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🔶认知症友好与银发就业政策（卫健委、民政部）；🔶记忆咖啡馆案例报道（央媒须下载核验）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