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1055. “银发发声课，唱响晚年”——老年人声乐培训参与动机与支付意愿调查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研究对象：报名老年声乐班/合唱团的老年人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核心问题/变量：声乐培训动机（圆梦/社交/防健忘）、培训班费用、合唱团演出、线上声乐课（短视频）、身心健康提升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声乐培训动机（圆梦/社交/防健忘）、培训班费用（身心健康提升）之间存在可检验的关系，且受群体差异（年龄/收入/地区/身份）调节（待验证）；H2：声乐培训动机（圆梦/社交/防健忘）、培训班费用是影响身心健康提升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🔶老年教育政策（国务院老年教育发展规划）；🔶老年声乐培训数据（须下载核验）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老年大学/培训机构问卷+学员访谈；获奖黑名单核对：近三年无老年声乐获奖题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🔶老年教育政策（国务院老年教育发展规划）；🔶老年声乐培训数据（须下载核验）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