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106. “老年大学，一座难求”——老年大学学员学习需求与课程满意度研究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研究对象：60岁以上老年人及子女（含老年大学在读/候补）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核心问题/变量：学习需求、抢课难度、学费接受、课程满意度、数字课程使用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H1：学习需求、抢课难度（数字课程使用）之间存在可检验的关系，且受群体差异（年龄/收入/地区/身份）调节（待验证）；H2：学习需求、抢课难度是影响数字课程使用的关键因素（待验证）。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🔶老年大学"一座难求"为社会热点（新华社等媒体多次报道"老年大学报名火爆"，需引原文）；✅《关于发展银发经济增进老年人福祉的意见》（国办发〔2024〕1号，老年教育列入重点）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老年大学/社区老年活动中心渠道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🔶老年大学"一座难求"为社会热点（新华社等媒体多次报道"老年大学报名火爆"，需引原文）；✅《关于发展银发经济增进老年人福祉的意见》（国办发〔2024〕1号，老年教育列入重点）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