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1089. “老有所为，银发返聘”——企事业单位退休返聘与银龄人才计划的返聘参与意愿及动机调查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确定行业：01_银发经济（选择理由：贴合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研究对象：退休后返聘/再就业的银发人才与企业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核心问题/变量：返聘动机（价值感/收入）、银龄人才计划（专家返聘）、返聘待遇与权益（工伤/社保）、代际合作、企业用工需求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返聘动机（价值感/收入）、银龄人才计划（专家返聘）（企业用工需求）之间存在可检验的关系，且受群体差异（年龄/收入/地区/身份）调节（待验证）；H2：返聘动机（价值感/收入）、银龄人才计划（专家返聘）是影响企业用工需求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🔶银发经济发展与人才开发政策（国务院、人社部）；🔶银龄行动数据（须下载核验）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银发人才问卷+企业HR访谈；获奖黑名单核对：近三年无银发返聘获奖题（区别于597银发再就业，聚焦返聘制度）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🔶银发经济发展与人才开发政策（国务院、人社部）；🔶银龄行动数据（须下载核验）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