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1090. “老房装电梯，老友记上楼”——老旧小区加装电梯投用后居民使用行为与维保支付意愿研究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研究对象：加装电梯投用后的小区居民（高低层/老人）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核心问题/变量：电梯加装后使用率、维保费用分摊、高层老人出行改善、低层补偿落实、邻里关系变化、新矛盾（噪音）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梯加装后使用率、维保费用分摊（新矛盾（噪音））之间存在可检验的关系，且受群体差异（年龄/收入/地区/身份）调节（待验证）；H2：电梯加装后使用率、维保费用分摊是影响新矛盾（噪音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🔶老旧小区加装电梯运维政策（住建部、地方条例）；🔶加梯运维案例（须下载核验）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加梯小区问卷+物业/业委会访谈；获奖黑名单核对：近三年无加梯后续获奖题（区别于913/953加梯工程，聚焦投用后期）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🔶老旧小区加装电梯运维政策（住建部、地方条例）；🔶加梯运维案例（须下载核验）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