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011. “银龄助餐，暖胃暖心”——社区老年助餐服务需求与支付意愿研究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 岁以上老人及其子女。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核心问题/变量：就餐困难、营养需求、配送需求、价格承受、子女支付意愿。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H1：就餐困难、营养需求显著影响子女支付意愿。（待验证）；H2：不同人群（年龄/收入/城市等级）在上述关系中存在调节作用（待验证）。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S6，银发经济分析报告；S4，医疗康复护理扩容提升相关政策。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社区食堂、养老服务站和老年大学取样；老人和子女双问卷。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S6，银发经济分析报告；S4，医疗康复护理扩容提升相关政策。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