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122. “适老家电，居家焕新”——适老化智能家居购买意愿与国补政策效应感知研究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研究对象：家有 60+ 老人的中青年及老人本人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核心问题/变量：适老化家电品类认知（智能马桶/防跌倒雷达/紧急呼叫）、购买障碍、国补知晓、购买意愿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H1：适老化家电品类认知（智能马桶/防跌倒雷达/紧急呼叫）、购买障碍显著影响购买意愿（待验证）；H2：不同人群（年龄/收入/城市等级）在上述关系中存在调节作用（待验证）。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✅适老化智能家居2026年预计662亿元（2024年547亿，中商）；✅2026年6月北京将智能家居及适老化产品纳入以旧换新补贴、江苏/黑龙江适老化厨电15%补贴；✅全国每年超4000万老年人跌倒、近半数在家（行业数据）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家电卖场适老专区/社区居家养老站点；与第三批61以旧换新联动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✅适老化智能家居2026年预计662亿元（2024年547亿，中商）；✅2026年6月北京将智能家居及适老化产品纳入以旧换新补贴、江苏/黑龙江适老化厨电15%补贴；✅全国每年超4000万老年人跌倒、近半数在家（行业数据）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