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124. “银发血压计，健康看得见”——适老化家用医疗器械使用痛点与购买决策研究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研究对象：患慢性病（高血压/糖尿病等）的 60+ 老人或照护家属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核心问题/变量：设备使用痛点（字号小/操作难）、功能期望（语音提示/远程互联）、购买决策、满意度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H1：设备使用痛点（字号小/操作难）、功能期望（语音提示/远程互联）显著影响满意度（待验证）；H2：不同人群（年龄/收入/城市等级）在上述关系中存在调节作用（待验证）。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✅适老化家用医疗器械2026年预计突破3000亿元、年复合增速15%+（镇杰医博会引行业研究）；✅适老化设计（大字体/语音/一键/远程）成产品竞争力核心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社区健康中心/药店/慢病管理社群渠道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✅适老化家用医疗器械2026年预计突破3000亿元、年复合增速15%+（镇杰医博会引行业研究）；✅适老化设计（大字体/语音/一键/远程）成产品竞争力核心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