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125. “银发认证，买得安心”——银发产品认证制度下老年消费信任研究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研究对象：购买过老年用品（老年手机/助听器/护理床等）的老人及子女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核心问题/变量：质量信任、认证知晓、购买踩坑经历、对标识付费溢价意愿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H1：质量信任、认证知晓显著影响对标识付费溢价意愿（待验证）；H2：不同人群（年龄/收入/城市等级）在上述关系中存在调节作用（待验证）。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等7部门《关于推动商品消费扩容升级的实施意见》（商消费函〔2026〕389号，2026-08-31）：探索建立银发产品认证制度、鼓励设适老化产品销售专区；✅工信部等六部门将老年用品列为三大万亿级消费领域之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老年用品店/电商老年频道渠道；紧扣商消费函〔2026〕389号新政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等7部门《关于推动商品消费扩容升级的实施意见》（商消费函〔2026〕389号，2026-08-31）：探索建立银发产品认证制度、鼓励设适老化产品销售专区；✅工信部等六部门将老年用品列为三大万亿级消费领域之首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