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012. “银发康复，服务到家”——居家康复护理服务使用意愿及影响因素研究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研究对象：术后老人、慢病老人及家庭照护者。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核心问题/变量：护理需求、服务可及性、专业信任、费用、家庭照护负担。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H1：护理需求、服务可及性（家庭照护负担。）之间存在可检验的关系，且受群体差异（年龄/收入/地区/身份）调节（待验证）；H2：护理需求、服务可及性是影响家庭照护负担。的关键因素（待验证）。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S4，医疗康复护理扩容提升工程相关政策。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社区卫生服务中心、康复机构合作。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S4，医疗康复护理扩容提升工程相关政策。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